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8FE" w:rsidRDefault="00F008FE" w:rsidP="00F008FE">
      <w:pPr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721AD6" w:rsidRPr="00DF76C0">
        <w:rPr>
          <w:rFonts w:ascii="Times New Roman" w:hAnsi="Times New Roman"/>
          <w:b/>
          <w:sz w:val="28"/>
          <w:szCs w:val="28"/>
        </w:rPr>
        <w:t xml:space="preserve">Информация по </w:t>
      </w:r>
      <w:r w:rsidR="00721AD6">
        <w:rPr>
          <w:rFonts w:ascii="Times New Roman" w:hAnsi="Times New Roman"/>
          <w:b/>
          <w:sz w:val="28"/>
          <w:szCs w:val="28"/>
        </w:rPr>
        <w:t>результатам</w:t>
      </w:r>
      <w:r>
        <w:rPr>
          <w:rFonts w:ascii="Times New Roman" w:hAnsi="Times New Roman"/>
          <w:b/>
          <w:sz w:val="28"/>
          <w:szCs w:val="28"/>
        </w:rPr>
        <w:t xml:space="preserve"> проведения</w:t>
      </w:r>
      <w:r w:rsidR="00721AD6">
        <w:rPr>
          <w:rFonts w:ascii="Times New Roman" w:hAnsi="Times New Roman"/>
          <w:b/>
          <w:sz w:val="28"/>
          <w:szCs w:val="28"/>
        </w:rPr>
        <w:t xml:space="preserve"> </w:t>
      </w:r>
      <w:r w:rsidR="00D81BE3">
        <w:rPr>
          <w:rFonts w:ascii="Times New Roman" w:hAnsi="Times New Roman"/>
          <w:b/>
          <w:sz w:val="28"/>
          <w:szCs w:val="28"/>
        </w:rPr>
        <w:t>экспертиз</w:t>
      </w:r>
      <w:r>
        <w:rPr>
          <w:rFonts w:ascii="Times New Roman" w:hAnsi="Times New Roman"/>
          <w:b/>
          <w:sz w:val="28"/>
          <w:szCs w:val="28"/>
        </w:rPr>
        <w:t xml:space="preserve">ы </w:t>
      </w:r>
      <w:r w:rsidR="00D81BE3">
        <w:rPr>
          <w:rFonts w:ascii="Times New Roman" w:hAnsi="Times New Roman"/>
          <w:b/>
          <w:sz w:val="28"/>
          <w:szCs w:val="28"/>
        </w:rPr>
        <w:t xml:space="preserve"> проект</w:t>
      </w:r>
      <w:r>
        <w:rPr>
          <w:rFonts w:ascii="Times New Roman" w:hAnsi="Times New Roman"/>
          <w:b/>
          <w:sz w:val="28"/>
          <w:szCs w:val="28"/>
        </w:rPr>
        <w:t>а</w:t>
      </w:r>
      <w:r w:rsidR="00D81BE3">
        <w:rPr>
          <w:rFonts w:ascii="Times New Roman" w:hAnsi="Times New Roman"/>
          <w:b/>
          <w:sz w:val="28"/>
          <w:szCs w:val="28"/>
        </w:rPr>
        <w:t xml:space="preserve"> бюджет</w:t>
      </w:r>
      <w:r>
        <w:rPr>
          <w:rFonts w:ascii="Times New Roman" w:hAnsi="Times New Roman"/>
          <w:b/>
          <w:sz w:val="28"/>
          <w:szCs w:val="28"/>
        </w:rPr>
        <w:t>а</w:t>
      </w:r>
      <w:r w:rsidR="00D81B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МО «</w:t>
      </w:r>
      <w:r w:rsidR="00D81BE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81BE3">
        <w:rPr>
          <w:rFonts w:ascii="Times New Roman" w:hAnsi="Times New Roman"/>
          <w:b/>
          <w:sz w:val="28"/>
          <w:szCs w:val="28"/>
        </w:rPr>
        <w:t>Нукутск</w:t>
      </w:r>
      <w:r>
        <w:rPr>
          <w:rFonts w:ascii="Times New Roman" w:hAnsi="Times New Roman"/>
          <w:b/>
          <w:sz w:val="28"/>
          <w:szCs w:val="28"/>
        </w:rPr>
        <w:t>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D81BE3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»</w:t>
      </w:r>
      <w:r w:rsidR="00D81BE3">
        <w:rPr>
          <w:rFonts w:ascii="Times New Roman" w:hAnsi="Times New Roman"/>
          <w:b/>
          <w:sz w:val="28"/>
          <w:szCs w:val="28"/>
        </w:rPr>
        <w:t xml:space="preserve"> на 202</w:t>
      </w:r>
      <w:r>
        <w:rPr>
          <w:rFonts w:ascii="Times New Roman" w:hAnsi="Times New Roman"/>
          <w:b/>
          <w:sz w:val="28"/>
          <w:szCs w:val="28"/>
        </w:rPr>
        <w:t>5</w:t>
      </w:r>
      <w:r w:rsidR="00D81BE3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="00D81BE3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="00D81BE3">
        <w:rPr>
          <w:rFonts w:ascii="Times New Roman" w:hAnsi="Times New Roman"/>
          <w:b/>
          <w:sz w:val="28"/>
          <w:szCs w:val="28"/>
        </w:rPr>
        <w:t xml:space="preserve"> г</w:t>
      </w:r>
    </w:p>
    <w:p w:rsidR="00F008FE" w:rsidRPr="00F008FE" w:rsidRDefault="00F008FE" w:rsidP="00F008FE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 xml:space="preserve">1.      </w:t>
      </w:r>
      <w:proofErr w:type="gramStart"/>
      <w:r w:rsidRPr="00F008FE">
        <w:rPr>
          <w:rFonts w:ascii="Times New Roman" w:hAnsi="Times New Roman"/>
          <w:sz w:val="28"/>
          <w:szCs w:val="28"/>
        </w:rPr>
        <w:t>Проект бюджета муниципального образования «</w:t>
      </w:r>
      <w:proofErr w:type="spellStart"/>
      <w:r w:rsidRPr="00F008FE">
        <w:rPr>
          <w:rFonts w:ascii="Times New Roman" w:hAnsi="Times New Roman"/>
          <w:sz w:val="28"/>
          <w:szCs w:val="28"/>
        </w:rPr>
        <w:t>Нукутский</w:t>
      </w:r>
      <w:proofErr w:type="spellEnd"/>
      <w:r w:rsidRPr="00F008FE">
        <w:rPr>
          <w:rFonts w:ascii="Times New Roman" w:hAnsi="Times New Roman"/>
          <w:sz w:val="28"/>
          <w:szCs w:val="28"/>
        </w:rPr>
        <w:t xml:space="preserve"> район» на 2025 год и  на плановый период 2026 и 2027 годов внесен постановлением Администрации муниципального образования «</w:t>
      </w:r>
      <w:proofErr w:type="spellStart"/>
      <w:r w:rsidRPr="00F008FE">
        <w:rPr>
          <w:rFonts w:ascii="Times New Roman" w:hAnsi="Times New Roman"/>
          <w:sz w:val="28"/>
          <w:szCs w:val="28"/>
        </w:rPr>
        <w:t>Нукутский</w:t>
      </w:r>
      <w:proofErr w:type="spellEnd"/>
      <w:r w:rsidRPr="00F008FE">
        <w:rPr>
          <w:rFonts w:ascii="Times New Roman" w:hAnsi="Times New Roman"/>
          <w:sz w:val="28"/>
          <w:szCs w:val="28"/>
        </w:rPr>
        <w:t xml:space="preserve"> район» на рассмотрение в районную Думу 15 ноября 2024 года, что соответствует ст. 24 Положения о бюджетном процессе в муниципальном образовании «</w:t>
      </w:r>
      <w:proofErr w:type="spellStart"/>
      <w:r w:rsidRPr="00F008FE">
        <w:rPr>
          <w:rFonts w:ascii="Times New Roman" w:hAnsi="Times New Roman"/>
          <w:sz w:val="28"/>
          <w:szCs w:val="28"/>
        </w:rPr>
        <w:t>Нукутский</w:t>
      </w:r>
      <w:proofErr w:type="spellEnd"/>
      <w:r w:rsidRPr="00F008FE">
        <w:rPr>
          <w:rFonts w:ascii="Times New Roman" w:hAnsi="Times New Roman"/>
          <w:sz w:val="28"/>
          <w:szCs w:val="28"/>
        </w:rPr>
        <w:t xml:space="preserve"> район», утвержденного решением Думы муниципального образования «</w:t>
      </w:r>
      <w:proofErr w:type="spellStart"/>
      <w:r w:rsidRPr="00F008FE">
        <w:rPr>
          <w:rFonts w:ascii="Times New Roman" w:hAnsi="Times New Roman"/>
          <w:sz w:val="28"/>
          <w:szCs w:val="28"/>
        </w:rPr>
        <w:t>Нукутский</w:t>
      </w:r>
      <w:proofErr w:type="spellEnd"/>
      <w:r w:rsidRPr="00F008FE">
        <w:rPr>
          <w:rFonts w:ascii="Times New Roman" w:hAnsi="Times New Roman"/>
          <w:sz w:val="28"/>
          <w:szCs w:val="28"/>
        </w:rPr>
        <w:t xml:space="preserve"> район» от 25.12.2020 года № 79 (не позднее 15</w:t>
      </w:r>
      <w:proofErr w:type="gramEnd"/>
      <w:r w:rsidRPr="00F008FE">
        <w:rPr>
          <w:rFonts w:ascii="Times New Roman" w:hAnsi="Times New Roman"/>
          <w:sz w:val="28"/>
          <w:szCs w:val="28"/>
        </w:rPr>
        <w:t xml:space="preserve"> ноября текущего года).</w:t>
      </w:r>
    </w:p>
    <w:p w:rsidR="00F008FE" w:rsidRPr="00F008FE" w:rsidRDefault="00F008FE" w:rsidP="00F008F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 xml:space="preserve">2.  Представленный проект  бюджета соответствует требованиям статьей 184.1 и 184.2 Бюджетного Кодекса Российской Федерации и статьям 23, 24 Положения о бюджетном процессе в части полноты самого проекта решения, а также документов и материалов, предоставляемых в Думу одновременно с ними. </w:t>
      </w:r>
    </w:p>
    <w:p w:rsidR="00F008FE" w:rsidRPr="00F008FE" w:rsidRDefault="00F008FE" w:rsidP="00F008FE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3.   В соответствии с положениями  статьи 172 Бюджетного кодекса РФ проект бюджета основан на основных направлениях бюджетной и налоговой политики муниципального образования, прогнозе социально-экономического развития  территории, бюджетном прогнозе муниципального образования на долгосрочный период.</w:t>
      </w:r>
    </w:p>
    <w:p w:rsidR="00F008FE" w:rsidRPr="00F008FE" w:rsidRDefault="00F008FE" w:rsidP="00F008FE">
      <w:pPr>
        <w:spacing w:after="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4.  Надежность показателей прогноза социально-экономического развития является важнейшей составляющей соблюдения принципа достоверности бюджета, определенного статьей 37 БК РФ. При этом остается актуальной проблема достоверности показателей прогноза социально-экономического развития в части определения доходной базы при планировании бюджета.</w:t>
      </w:r>
    </w:p>
    <w:p w:rsidR="00F008FE" w:rsidRPr="00F008FE" w:rsidRDefault="00F008FE" w:rsidP="00F008F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08FE">
        <w:rPr>
          <w:rFonts w:ascii="Times New Roman" w:hAnsi="Times New Roman"/>
          <w:sz w:val="28"/>
          <w:szCs w:val="28"/>
        </w:rPr>
        <w:t>Прогноз  основных параметров бюджета муниципального образования «</w:t>
      </w:r>
      <w:proofErr w:type="spellStart"/>
      <w:r w:rsidRPr="00F008FE">
        <w:rPr>
          <w:rFonts w:ascii="Times New Roman" w:hAnsi="Times New Roman"/>
          <w:sz w:val="28"/>
          <w:szCs w:val="28"/>
        </w:rPr>
        <w:t>Нукутский</w:t>
      </w:r>
      <w:proofErr w:type="spellEnd"/>
      <w:r w:rsidRPr="00F008FE">
        <w:rPr>
          <w:rFonts w:ascii="Times New Roman" w:hAnsi="Times New Roman"/>
          <w:sz w:val="28"/>
          <w:szCs w:val="28"/>
        </w:rPr>
        <w:t xml:space="preserve"> район» на 2025 год и на плановый период 2026 и 2027 годов осуществлен на основании базового варианта прогноза социально-экономического развития муниципального образования «</w:t>
      </w:r>
      <w:proofErr w:type="spellStart"/>
      <w:r w:rsidRPr="00F008FE">
        <w:rPr>
          <w:rFonts w:ascii="Times New Roman" w:hAnsi="Times New Roman"/>
          <w:sz w:val="28"/>
          <w:szCs w:val="28"/>
        </w:rPr>
        <w:t>Нукутский</w:t>
      </w:r>
      <w:proofErr w:type="spellEnd"/>
      <w:r w:rsidRPr="00F008FE">
        <w:rPr>
          <w:rFonts w:ascii="Times New Roman" w:hAnsi="Times New Roman"/>
          <w:sz w:val="28"/>
          <w:szCs w:val="28"/>
        </w:rPr>
        <w:t xml:space="preserve"> район» на 2025-2076 годы, который исходит из наиболее вероятного сценария развития экономики в условиях отсутствия на территории района жестких ограничений ведения хозяйственной деятельности, осуществления  деятельности хозяйствующих субъектов в бесперебойном режиме.</w:t>
      </w:r>
      <w:proofErr w:type="gramEnd"/>
    </w:p>
    <w:p w:rsidR="00F008FE" w:rsidRPr="00F008FE" w:rsidRDefault="00F008FE" w:rsidP="00F008F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 xml:space="preserve">По основным  макроэкономическим показателям прогноза социально-экономического развития на 2025 - 2027 годы складывается  положительная  динамика. </w:t>
      </w:r>
    </w:p>
    <w:p w:rsidR="00F008FE" w:rsidRPr="00F008FE" w:rsidRDefault="00F008FE" w:rsidP="00F008F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lastRenderedPageBreak/>
        <w:t>5.Основные характеристики бюджета, к которым в соответствии со ст.184.1 Бюджетного кодекса РФ относятся: общий объем доходов, общий объем расходов, дефицит (профицит) бюджета, прогнозируются:</w:t>
      </w:r>
    </w:p>
    <w:p w:rsidR="00F008FE" w:rsidRPr="00F008FE" w:rsidRDefault="00F008FE" w:rsidP="00F008FE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F008FE">
        <w:rPr>
          <w:rFonts w:ascii="Times New Roman" w:hAnsi="Times New Roman"/>
          <w:sz w:val="28"/>
          <w:szCs w:val="28"/>
          <w:u w:val="single"/>
        </w:rPr>
        <w:t>- на 2025  финансовый год:</w:t>
      </w:r>
    </w:p>
    <w:p w:rsidR="00F008FE" w:rsidRPr="00F008FE" w:rsidRDefault="00F008FE" w:rsidP="00F008FE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по доходам  - в сумме 1287823,7 тыс. рублей,</w:t>
      </w:r>
    </w:p>
    <w:p w:rsidR="00F008FE" w:rsidRPr="00F008FE" w:rsidRDefault="00F008FE" w:rsidP="00F008FE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по  расходам -  в сумме  1297255,2 тыс. рублей,</w:t>
      </w:r>
    </w:p>
    <w:p w:rsidR="00F008FE" w:rsidRPr="00F008FE" w:rsidRDefault="00F008FE" w:rsidP="00F008FE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дефицит -  в сумме 9431,5 тыс. рублей.</w:t>
      </w:r>
    </w:p>
    <w:p w:rsidR="00F008FE" w:rsidRPr="00F008FE" w:rsidRDefault="00F008FE" w:rsidP="00F008FE">
      <w:pPr>
        <w:tabs>
          <w:tab w:val="left" w:pos="567"/>
        </w:tabs>
        <w:ind w:left="567"/>
        <w:jc w:val="both"/>
        <w:rPr>
          <w:rFonts w:ascii="Times New Roman" w:hAnsi="Times New Roman"/>
          <w:sz w:val="28"/>
          <w:szCs w:val="28"/>
          <w:u w:val="single"/>
        </w:rPr>
      </w:pPr>
      <w:r w:rsidRPr="00F008FE">
        <w:rPr>
          <w:rFonts w:ascii="Times New Roman" w:hAnsi="Times New Roman"/>
          <w:sz w:val="28"/>
          <w:szCs w:val="28"/>
          <w:u w:val="single"/>
        </w:rPr>
        <w:t>- на плановый период  2026 года:</w:t>
      </w:r>
    </w:p>
    <w:p w:rsidR="00F008FE" w:rsidRPr="00F008FE" w:rsidRDefault="00F008FE" w:rsidP="00F008FE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по доходам  - в сумме 1178188,1 тыс. рублей,</w:t>
      </w:r>
    </w:p>
    <w:p w:rsidR="00F008FE" w:rsidRPr="00F008FE" w:rsidRDefault="00F008FE" w:rsidP="00F008FE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по  расходам -  в сумме  1187984,7 тыс. рублей,</w:t>
      </w:r>
    </w:p>
    <w:p w:rsidR="00F008FE" w:rsidRPr="00F008FE" w:rsidRDefault="00F008FE" w:rsidP="00F008FE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008FE">
        <w:rPr>
          <w:rFonts w:ascii="Times New Roman" w:hAnsi="Times New Roman"/>
          <w:sz w:val="28"/>
          <w:szCs w:val="28"/>
        </w:rPr>
        <w:t>дефицит -  в сумме 8161,3 тыс. рублей.</w:t>
      </w:r>
    </w:p>
    <w:p w:rsidR="00F008FE" w:rsidRPr="00F008FE" w:rsidRDefault="00F008FE" w:rsidP="00F008FE">
      <w:pPr>
        <w:ind w:left="567"/>
        <w:jc w:val="both"/>
        <w:rPr>
          <w:rFonts w:ascii="Times New Roman" w:hAnsi="Times New Roman"/>
          <w:sz w:val="28"/>
          <w:szCs w:val="28"/>
          <w:u w:val="single"/>
        </w:rPr>
      </w:pPr>
      <w:r w:rsidRPr="00F008FE">
        <w:rPr>
          <w:rFonts w:ascii="Times New Roman" w:hAnsi="Times New Roman"/>
          <w:sz w:val="28"/>
          <w:szCs w:val="28"/>
          <w:u w:val="single"/>
        </w:rPr>
        <w:t>- на плановый период  2027 года:</w:t>
      </w:r>
    </w:p>
    <w:p w:rsidR="00F008FE" w:rsidRPr="00F008FE" w:rsidRDefault="00F008FE" w:rsidP="00F008FE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по доходам  - в сумме 1177059,5 тыс. рублей,</w:t>
      </w:r>
    </w:p>
    <w:p w:rsidR="00F008FE" w:rsidRPr="00F008FE" w:rsidRDefault="00F008FE" w:rsidP="00F008FE">
      <w:pPr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по  расходам -  в сумме  1187184,9 тыс. рублей,</w:t>
      </w:r>
    </w:p>
    <w:p w:rsidR="00F008FE" w:rsidRPr="00F008FE" w:rsidRDefault="00F008FE" w:rsidP="00F008FE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008FE">
        <w:rPr>
          <w:rFonts w:ascii="Times New Roman" w:hAnsi="Times New Roman"/>
          <w:sz w:val="28"/>
          <w:szCs w:val="28"/>
        </w:rPr>
        <w:t>дефицит -  в сумме 10125,4 тыс. рублей.</w:t>
      </w:r>
    </w:p>
    <w:p w:rsidR="00F008FE" w:rsidRPr="00F008FE" w:rsidRDefault="00F008FE" w:rsidP="00F008F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6.При формировании проекта бюджета соблюдены ограничения, установленные Бюджетным кодексом Российской Федерации, а именно:  по размеру дефицита бюджета, объему муниципального долга и расходам на его обслуживание, предельному объему заимствований, размеру резервного фонда, общему объему условно утверждаемых расходов.</w:t>
      </w:r>
    </w:p>
    <w:p w:rsidR="00F008FE" w:rsidRPr="00F008FE" w:rsidRDefault="00F008FE" w:rsidP="00F008F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7. По своей структуре и содержанию проект  решения сформирован в соответствии с требованиями  пункта 3 статьи 184.1 Бюджетного кодекса РФ, в частности, в проекте бюджета:</w:t>
      </w:r>
    </w:p>
    <w:p w:rsidR="00F008FE" w:rsidRPr="00F008FE" w:rsidRDefault="00F008FE" w:rsidP="00F008F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b/>
          <w:sz w:val="28"/>
          <w:szCs w:val="28"/>
        </w:rPr>
        <w:t>7</w:t>
      </w:r>
      <w:r w:rsidRPr="00F008FE">
        <w:rPr>
          <w:rFonts w:ascii="Times New Roman" w:hAnsi="Times New Roman"/>
          <w:sz w:val="28"/>
          <w:szCs w:val="28"/>
        </w:rPr>
        <w:t xml:space="preserve">.1. Установлен общий объем бюджетных ассигнований, направляемых на исполнение публичных нормативных обязательств на 2025 год и на плановый период 2026 и 2027 годов  в размере  1005,4 тыс. руб., 1005,4 тыс. руб., 1110,4 тыс. рублей соответственно. </w:t>
      </w:r>
    </w:p>
    <w:p w:rsidR="00F008FE" w:rsidRPr="00F008FE" w:rsidRDefault="00F008FE" w:rsidP="00F008F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7.2.  На 2026 и 2027 годы, условно утверждаемые  расходы в сумме 8161,3 тыс. рублей (0,7% в структуре проектируемых расходов) и  16193,3,тыс. рублей (1,4% в структуре проектируемых расходов) соответственно.</w:t>
      </w:r>
    </w:p>
    <w:p w:rsidR="00F008FE" w:rsidRPr="00F008FE" w:rsidRDefault="00F008FE" w:rsidP="00F008F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lastRenderedPageBreak/>
        <w:t>7.3. Определены объемы межбюджетных трансфертов, получаемых из других бюджетов бюджетной системы Российской Федерации: на 2025  год  - 1162070,9 тыс. рублей, на  2026 год – 1047566,3 тыс. рублей, на 2027 год – 1042054,9 тыс. рублей.</w:t>
      </w:r>
    </w:p>
    <w:p w:rsidR="00F008FE" w:rsidRPr="00F008FE" w:rsidRDefault="00F008FE" w:rsidP="00F008F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7.4. Определены объемы бюджетных ассигнований муниципального дорожного фонда: на 2025 год в сумме  по 44344,1 тыс. рублей, на 2026-2027 годы по 71761,9 тыс. рублей и 73789,5 тыс. руб. соответственно.</w:t>
      </w:r>
    </w:p>
    <w:p w:rsidR="00F008FE" w:rsidRPr="00F008FE" w:rsidRDefault="00F008FE" w:rsidP="00F008FE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 xml:space="preserve">8. Результаты рассмотрения проекта решения в части прогнозируемых доходов на 2025 год и на плановый период 2026 и 2027 годов свидетельствует о соблюдении в основном требований бюджетного законодательства, предъявляемых к формированию бюджета (ст.174.1 БК РФ). Наблюдается повышение качества планирования налоговых доходов. </w:t>
      </w:r>
    </w:p>
    <w:p w:rsidR="00F008FE" w:rsidRPr="00F008FE" w:rsidRDefault="00F008FE" w:rsidP="00F008F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008FE">
        <w:rPr>
          <w:color w:val="auto"/>
          <w:sz w:val="28"/>
          <w:szCs w:val="28"/>
        </w:rPr>
        <w:t xml:space="preserve">9. В связи с несбалансированностью бюджета, не в полном объеме предусмотрены бюджетные ассигнования по всем видам расходов. В целом по сравнению с ожидаемым исполнением бюджета за 2024 год предусматривается увеличение  расходов в 2025 году на 17879,0 тыс. рублей, или на 1,4%. </w:t>
      </w:r>
    </w:p>
    <w:p w:rsidR="00F008FE" w:rsidRPr="00F008FE" w:rsidRDefault="00F008FE" w:rsidP="00F008F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008FE">
        <w:rPr>
          <w:color w:val="auto"/>
          <w:sz w:val="28"/>
          <w:szCs w:val="28"/>
        </w:rPr>
        <w:t xml:space="preserve">По сравнению с первоначально утвержденными расходами бюджета на 2024 год, прогноз расходов на 2025 год предусмотрен с увеличением на 206020,8 тыс. рублей  или на 18,9 %. </w:t>
      </w:r>
    </w:p>
    <w:p w:rsidR="00F008FE" w:rsidRPr="00F008FE" w:rsidRDefault="00F008FE" w:rsidP="00F008FE">
      <w:pPr>
        <w:pStyle w:val="a4"/>
        <w:ind w:firstLine="567"/>
        <w:jc w:val="both"/>
        <w:rPr>
          <w:szCs w:val="28"/>
        </w:rPr>
      </w:pPr>
      <w:r w:rsidRPr="00F008FE">
        <w:rPr>
          <w:szCs w:val="28"/>
        </w:rPr>
        <w:t xml:space="preserve">Проект расходной части бюджета на 2025 год составил  78,6 % от общей годовой потребности. </w:t>
      </w:r>
      <w:proofErr w:type="gramStart"/>
      <w:r w:rsidRPr="00F008FE">
        <w:rPr>
          <w:szCs w:val="28"/>
        </w:rPr>
        <w:t>Расходы на заработную  плату с начислениями на нее  в бюджете МО «</w:t>
      </w:r>
      <w:proofErr w:type="spellStart"/>
      <w:r w:rsidRPr="00F008FE">
        <w:rPr>
          <w:szCs w:val="28"/>
        </w:rPr>
        <w:t>Нукутский</w:t>
      </w:r>
      <w:proofErr w:type="spellEnd"/>
      <w:r w:rsidRPr="00F008FE">
        <w:rPr>
          <w:szCs w:val="28"/>
        </w:rPr>
        <w:t xml:space="preserve"> район» предусмотрены на 12  месяцев на уровне 2024 года, т.е.  без учета Постановления Правительства Иркутской области от 12 июля 2024 г. № 547-пп «Об установлении величины прожиточного минимума в Иркутской области на 2025 год,  федерального закона от 29 октября 2024 г. № 365-ФЗ «О внесении изменения в статью 1</w:t>
      </w:r>
      <w:proofErr w:type="gramEnd"/>
      <w:r w:rsidRPr="00F008FE">
        <w:rPr>
          <w:szCs w:val="28"/>
        </w:rPr>
        <w:t xml:space="preserve"> ФЗ  «О минимальном </w:t>
      </w:r>
      <w:proofErr w:type="gramStart"/>
      <w:r w:rsidRPr="00F008FE">
        <w:rPr>
          <w:szCs w:val="28"/>
        </w:rPr>
        <w:t>размере оплаты труда</w:t>
      </w:r>
      <w:proofErr w:type="gramEnd"/>
      <w:r w:rsidRPr="00F008FE">
        <w:rPr>
          <w:szCs w:val="28"/>
        </w:rPr>
        <w:t>».</w:t>
      </w:r>
    </w:p>
    <w:p w:rsidR="00F008FE" w:rsidRPr="00F008FE" w:rsidRDefault="00F008FE" w:rsidP="00F008FE">
      <w:pPr>
        <w:spacing w:line="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 xml:space="preserve">       Анализ доходной части районного бюджета на 2025 год показал, что объем безвозмездных поступлений (1162070,9 тыс. руб.)  на 7598,6 тыс. рублей, или на 0,7%  выше, чем ожидаемое исполнение за 2024 год (1154472,3 тыс. рублей). </w:t>
      </w:r>
    </w:p>
    <w:p w:rsidR="00F008FE" w:rsidRPr="00F008FE" w:rsidRDefault="00F008FE" w:rsidP="00F008F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Также следует отметить, что в связи с отсутствием в проекте федерального бюджета распределения значительного объема межбюджетных трансфертов между субъектами РФ, проектом закона Иркутской области «Об областном бюджете на 2025 год и на плановый период 2026 и 2027 годов» объем межбюджетных трансфертов не полностью распределен между бюджетами муниципальных образований. Распределение отдельных направлений</w:t>
      </w:r>
      <w:r w:rsidRPr="00F008FE">
        <w:rPr>
          <w:rFonts w:ascii="Times New Roman" w:hAnsi="Times New Roman"/>
          <w:sz w:val="28"/>
          <w:szCs w:val="28"/>
        </w:rPr>
        <w:tab/>
        <w:t xml:space="preserve"> межбюджетных трансфертов местным бюджетам будет произведено ко второму чтению проекта закона о бюджете  Иркутской области, в </w:t>
      </w:r>
      <w:proofErr w:type="gramStart"/>
      <w:r w:rsidRPr="00F008FE">
        <w:rPr>
          <w:rFonts w:ascii="Times New Roman" w:hAnsi="Times New Roman"/>
          <w:sz w:val="28"/>
          <w:szCs w:val="28"/>
        </w:rPr>
        <w:t>связи</w:t>
      </w:r>
      <w:proofErr w:type="gramEnd"/>
      <w:r w:rsidRPr="00F008FE">
        <w:rPr>
          <w:rFonts w:ascii="Times New Roman" w:hAnsi="Times New Roman"/>
          <w:sz w:val="28"/>
          <w:szCs w:val="28"/>
        </w:rPr>
        <w:t xml:space="preserve"> с чем структура межбюджетных трансфертов может значительно измениться. </w:t>
      </w:r>
    </w:p>
    <w:p w:rsidR="00F008FE" w:rsidRPr="00F008FE" w:rsidRDefault="00F008FE" w:rsidP="00F008FE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lastRenderedPageBreak/>
        <w:t xml:space="preserve"> В дальнейшем, в процессе исполнения областного бюджета, будет осуществляться распределение межбюджетных трансфертов бюджетам муниципальных образований и соответственно будут уточнены параметры бюджета района по безвозмездным поступлениям.</w:t>
      </w:r>
    </w:p>
    <w:p w:rsidR="00F008FE" w:rsidRPr="00F008FE" w:rsidRDefault="00F008FE" w:rsidP="00F008FE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 xml:space="preserve">Как показывает практика, в течение финансового года производится уточнение параметров областного бюджета на суммы безвозмездных поступлений, распределяемых главными распорядителями средств бюджета. Так, объем безвозмездных поступлений от других бюджетов бюджетной системы РФ в районный бюджет в течение 2024 года был увеличен на 163721,9 тыс. рублей, или на 16,5 %. (первонач. бюджет на 2024 г.- 990750,4 тыс. рублей, ожидаемое исполнение за 2024 год- 1154472,3 тыс. рублей).   </w:t>
      </w:r>
    </w:p>
    <w:p w:rsidR="00F008FE" w:rsidRPr="00F008FE" w:rsidRDefault="00F008FE" w:rsidP="00F008FE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11.Приложениями 8 и 9 к проекту решения Думы о бюджете предлагается утвердить распределение бюджетных ассигнований на реализацию14 муниципальных программ и непрограммных расходов на 2025 год в сумме 1297255,2 тыс. рублей, на 2026 год  в сумме 1179823,4 тыс. рублей, на 2027 год в сумме 1170991,5 тыс. рублей.</w:t>
      </w:r>
    </w:p>
    <w:p w:rsidR="00F008FE" w:rsidRPr="00F008FE" w:rsidRDefault="00F008FE" w:rsidP="00F008FE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Расходы на исполнение муниципальных программ муниципального образования «</w:t>
      </w:r>
      <w:proofErr w:type="spellStart"/>
      <w:r w:rsidRPr="00F008FE">
        <w:rPr>
          <w:rFonts w:ascii="Times New Roman" w:hAnsi="Times New Roman"/>
          <w:sz w:val="28"/>
          <w:szCs w:val="28"/>
        </w:rPr>
        <w:t>Нукутский</w:t>
      </w:r>
      <w:proofErr w:type="spellEnd"/>
      <w:r w:rsidRPr="00F008FE">
        <w:rPr>
          <w:rFonts w:ascii="Times New Roman" w:hAnsi="Times New Roman"/>
          <w:sz w:val="28"/>
          <w:szCs w:val="28"/>
        </w:rPr>
        <w:t xml:space="preserve"> район» на 2025 год и на плановый период 2026 и 2027 годов предлагаются к утверждению на основании паспортов муниципальных программ в полном объеме. </w:t>
      </w:r>
    </w:p>
    <w:p w:rsidR="00F008FE" w:rsidRPr="00F008FE" w:rsidRDefault="00F008FE" w:rsidP="00F008FE">
      <w:pPr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F008FE">
        <w:rPr>
          <w:rFonts w:ascii="Times New Roman" w:hAnsi="Times New Roman"/>
          <w:sz w:val="28"/>
          <w:szCs w:val="28"/>
        </w:rPr>
        <w:t>12. На основании изложенного, Контрольно-счетная комиссия МО «</w:t>
      </w:r>
      <w:proofErr w:type="spellStart"/>
      <w:r w:rsidRPr="00F008FE">
        <w:rPr>
          <w:rFonts w:ascii="Times New Roman" w:hAnsi="Times New Roman"/>
          <w:sz w:val="28"/>
          <w:szCs w:val="28"/>
        </w:rPr>
        <w:t>Нукутский</w:t>
      </w:r>
      <w:proofErr w:type="spellEnd"/>
      <w:r w:rsidRPr="00F008FE">
        <w:rPr>
          <w:rFonts w:ascii="Times New Roman" w:hAnsi="Times New Roman"/>
          <w:sz w:val="28"/>
          <w:szCs w:val="28"/>
        </w:rPr>
        <w:t xml:space="preserve"> район»  </w:t>
      </w:r>
      <w:r>
        <w:rPr>
          <w:rFonts w:ascii="Times New Roman" w:hAnsi="Times New Roman"/>
          <w:sz w:val="28"/>
          <w:szCs w:val="28"/>
        </w:rPr>
        <w:t>указала</w:t>
      </w:r>
      <w:bookmarkStart w:id="0" w:name="_GoBack"/>
      <w:bookmarkEnd w:id="0"/>
      <w:r w:rsidRPr="00F008FE">
        <w:rPr>
          <w:rFonts w:ascii="Times New Roman" w:hAnsi="Times New Roman"/>
          <w:sz w:val="28"/>
          <w:szCs w:val="28"/>
        </w:rPr>
        <w:t>, что  проект бюджета муниципального  образования   «</w:t>
      </w:r>
      <w:proofErr w:type="spellStart"/>
      <w:r w:rsidRPr="00F008FE">
        <w:rPr>
          <w:rFonts w:ascii="Times New Roman" w:hAnsi="Times New Roman"/>
          <w:sz w:val="28"/>
          <w:szCs w:val="28"/>
        </w:rPr>
        <w:t>Нукутский</w:t>
      </w:r>
      <w:proofErr w:type="spellEnd"/>
      <w:r w:rsidRPr="00F008FE">
        <w:rPr>
          <w:rFonts w:ascii="Times New Roman" w:hAnsi="Times New Roman"/>
          <w:sz w:val="28"/>
          <w:szCs w:val="28"/>
        </w:rPr>
        <w:t xml:space="preserve">  район»  на  2025 год и на плановый период 2026 и 2027 годов соответствует  нормам бюджетного законодательства и  бы</w:t>
      </w:r>
      <w:r>
        <w:rPr>
          <w:rFonts w:ascii="Times New Roman" w:hAnsi="Times New Roman"/>
          <w:sz w:val="28"/>
          <w:szCs w:val="28"/>
        </w:rPr>
        <w:t>л</w:t>
      </w:r>
      <w:r w:rsidRPr="00F008FE">
        <w:rPr>
          <w:rFonts w:ascii="Times New Roman" w:hAnsi="Times New Roman"/>
          <w:sz w:val="28"/>
          <w:szCs w:val="28"/>
        </w:rPr>
        <w:t xml:space="preserve">  рекомендован к принятию с учетом указанных замечаний.</w:t>
      </w:r>
    </w:p>
    <w:p w:rsidR="00F008FE" w:rsidRPr="00F008FE" w:rsidRDefault="00F008FE" w:rsidP="00F008FE">
      <w:pPr>
        <w:ind w:hanging="142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08FE" w:rsidRDefault="00F008FE" w:rsidP="00F008FE">
      <w:pPr>
        <w:ind w:hanging="142"/>
        <w:jc w:val="both"/>
        <w:rPr>
          <w:color w:val="FF0000"/>
        </w:rPr>
      </w:pPr>
    </w:p>
    <w:p w:rsidR="00F008FE" w:rsidRPr="009E735F" w:rsidRDefault="00F008FE" w:rsidP="00F008FE">
      <w:pPr>
        <w:ind w:hanging="142"/>
        <w:jc w:val="both"/>
        <w:rPr>
          <w:color w:val="FF0000"/>
        </w:rPr>
      </w:pPr>
    </w:p>
    <w:p w:rsidR="00F008FE" w:rsidRPr="009E735F" w:rsidRDefault="00F008FE" w:rsidP="00F008FE">
      <w:pPr>
        <w:ind w:hanging="142"/>
        <w:jc w:val="both"/>
        <w:rPr>
          <w:color w:val="FF0000"/>
        </w:rPr>
      </w:pPr>
    </w:p>
    <w:p w:rsidR="00721AD6" w:rsidRDefault="00721AD6" w:rsidP="00F008F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sectPr w:rsidR="00721AD6" w:rsidSect="00F4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602B"/>
    <w:multiLevelType w:val="hybridMultilevel"/>
    <w:tmpl w:val="8570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C33F6"/>
    <w:multiLevelType w:val="hybridMultilevel"/>
    <w:tmpl w:val="396C44FE"/>
    <w:lvl w:ilvl="0" w:tplc="D9D8F5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2381F7F"/>
    <w:multiLevelType w:val="hybridMultilevel"/>
    <w:tmpl w:val="7F24E604"/>
    <w:lvl w:ilvl="0" w:tplc="C7441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F2F0FAB"/>
    <w:multiLevelType w:val="hybridMultilevel"/>
    <w:tmpl w:val="B820312E"/>
    <w:lvl w:ilvl="0" w:tplc="A7863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04F"/>
    <w:rsid w:val="00014376"/>
    <w:rsid w:val="0003721D"/>
    <w:rsid w:val="000A0937"/>
    <w:rsid w:val="001A031D"/>
    <w:rsid w:val="001B0DD7"/>
    <w:rsid w:val="001C1DDA"/>
    <w:rsid w:val="001D085B"/>
    <w:rsid w:val="001E3AF9"/>
    <w:rsid w:val="002139C2"/>
    <w:rsid w:val="0027489C"/>
    <w:rsid w:val="00340BB5"/>
    <w:rsid w:val="003670C1"/>
    <w:rsid w:val="004008C4"/>
    <w:rsid w:val="004110C7"/>
    <w:rsid w:val="00444580"/>
    <w:rsid w:val="004A7FFE"/>
    <w:rsid w:val="004C16A7"/>
    <w:rsid w:val="005046F1"/>
    <w:rsid w:val="00506BA9"/>
    <w:rsid w:val="00582083"/>
    <w:rsid w:val="00596C61"/>
    <w:rsid w:val="005A2EDD"/>
    <w:rsid w:val="0061744D"/>
    <w:rsid w:val="00661405"/>
    <w:rsid w:val="006B47E8"/>
    <w:rsid w:val="006D1548"/>
    <w:rsid w:val="006E2644"/>
    <w:rsid w:val="00721AD6"/>
    <w:rsid w:val="00735AE7"/>
    <w:rsid w:val="007B4B7E"/>
    <w:rsid w:val="008041C6"/>
    <w:rsid w:val="008606A8"/>
    <w:rsid w:val="00887E1D"/>
    <w:rsid w:val="008B68A7"/>
    <w:rsid w:val="008D090C"/>
    <w:rsid w:val="00920317"/>
    <w:rsid w:val="00970781"/>
    <w:rsid w:val="009B26CC"/>
    <w:rsid w:val="009C3920"/>
    <w:rsid w:val="00A26994"/>
    <w:rsid w:val="00A5004F"/>
    <w:rsid w:val="00A65763"/>
    <w:rsid w:val="00A81065"/>
    <w:rsid w:val="00B15F8A"/>
    <w:rsid w:val="00B614D0"/>
    <w:rsid w:val="00B8470F"/>
    <w:rsid w:val="00BA491B"/>
    <w:rsid w:val="00BB6765"/>
    <w:rsid w:val="00C1339F"/>
    <w:rsid w:val="00CC0F41"/>
    <w:rsid w:val="00D178C5"/>
    <w:rsid w:val="00D520EB"/>
    <w:rsid w:val="00D57DDE"/>
    <w:rsid w:val="00D81BE3"/>
    <w:rsid w:val="00D96C3A"/>
    <w:rsid w:val="00DD4F41"/>
    <w:rsid w:val="00DF76C0"/>
    <w:rsid w:val="00EB6F11"/>
    <w:rsid w:val="00EF5085"/>
    <w:rsid w:val="00F008FE"/>
    <w:rsid w:val="00F467BB"/>
    <w:rsid w:val="00F7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500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rsid w:val="00A500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A2EDD"/>
    <w:pPr>
      <w:ind w:left="720"/>
      <w:contextualSpacing/>
    </w:pPr>
  </w:style>
  <w:style w:type="paragraph" w:styleId="a4">
    <w:name w:val="Title"/>
    <w:basedOn w:val="a"/>
    <w:link w:val="a5"/>
    <w:qFormat/>
    <w:locked/>
    <w:rsid w:val="00F008FE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F008FE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500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rsid w:val="00A500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A2EDD"/>
    <w:pPr>
      <w:ind w:left="720"/>
      <w:contextualSpacing/>
    </w:pPr>
  </w:style>
  <w:style w:type="paragraph" w:styleId="a4">
    <w:name w:val="Title"/>
    <w:basedOn w:val="a"/>
    <w:link w:val="a5"/>
    <w:qFormat/>
    <w:locked/>
    <w:rsid w:val="00F008FE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F008FE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КСК-Николаева</cp:lastModifiedBy>
  <cp:revision>3</cp:revision>
  <dcterms:created xsi:type="dcterms:W3CDTF">2023-05-03T04:09:00Z</dcterms:created>
  <dcterms:modified xsi:type="dcterms:W3CDTF">2024-12-23T04:30:00Z</dcterms:modified>
</cp:coreProperties>
</file>