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81" w:rsidRPr="00175696" w:rsidRDefault="008C2AD4" w:rsidP="00175696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результатам контрольного мероприятия </w:t>
      </w:r>
      <w:r w:rsidR="00C24EB3" w:rsidRPr="00C24EB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«Проверка 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законного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 и 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эффективного использования 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бюджетных 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средств,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 выдел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е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нн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ых МБОУ </w:t>
      </w:r>
      <w:proofErr w:type="spellStart"/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Новонукутс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кая</w:t>
      </w:r>
      <w:proofErr w:type="spellEnd"/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 СОШ, аудит в сфере закупок товаров, работ и услуг в соответствии с Федеральным законом от 05.04.2013 г. № 44-ФЗ в 202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4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-202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5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 г</w:t>
      </w:r>
      <w:r w:rsidR="00412E2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г.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»</w:t>
      </w:r>
    </w:p>
    <w:p w:rsidR="00C24EB3" w:rsidRDefault="00C24EB3" w:rsidP="003117EE">
      <w:pPr>
        <w:spacing w:after="0" w:line="240" w:lineRule="auto"/>
        <w:ind w:firstLine="709"/>
      </w:pPr>
    </w:p>
    <w:p w:rsidR="00C24EB3" w:rsidRDefault="003C0ADA" w:rsidP="0000130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Контрольно-счё</w:t>
      </w:r>
      <w:r w:rsidR="00C24EB3"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>тная комиссия</w:t>
      </w:r>
      <w:r w:rsidR="00DF6F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Нукутского муниципального округа Иркутской области</w:t>
      </w:r>
      <w:r w:rsidR="00C24EB3"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проверила законность и 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эффективность использования</w:t>
      </w:r>
      <w:r w:rsidR="00C24EB3"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бюджетных средств, 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>выделе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нны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МБОУ </w:t>
      </w:r>
      <w:proofErr w:type="spellStart"/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период 202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гг.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провела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аудит в сфере закупок товаров, работ и услуг в соответствии с Федеральным законом от 05.04.2013 г. № 44-ФЗ</w:t>
      </w:r>
      <w:r w:rsidR="009B4841">
        <w:rPr>
          <w:rFonts w:ascii="Times New Roman" w:eastAsia="Calibri" w:hAnsi="Times New Roman" w:cs="Times New Roman"/>
          <w:sz w:val="28"/>
          <w:szCs w:val="28"/>
          <w:lang w:eastAsia="ru-RU"/>
        </w:rPr>
        <w:t>. В ходе контрольного мероприятия было выявлено следующее: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порядке формирования муниципального задания в отношении муниципальных учреждений муниципального образования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и финансового обеспечения выполнения муниципального задания, утвержденное постановлением администрации муниципального образования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от 6 июня 2011 г. № 255, не соответствует п. 69.2 Бюджетного кодекса РФ, с момента его принятия в него не вносились соответствующие изменения.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порядке составления и утверждения плана финансово-хозяйственной деятельности муниципальных бюджетных учреждений муниципального образования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район», утвержденное постановлением администрации МО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от 01.11.2011 года № 545 не соответствует Приказу Минфина России от 31 августа 2018 г. № 186н «О Требованиях к составлению и утверждению плана финансово-хозяйственной деятельности государственного (муниципального) учреждения», с момента его принятия в него не вносились соответствующие изменения.</w:t>
      </w:r>
      <w:proofErr w:type="gramEnd"/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Планы ФХД на 2024 год и на 2025 год составлены по форме, утвержденной Приказом Минфина России от 17.08.2020 г. № 168н «Об утверждении Порядка составления и ведения планов финансово-хозяйственной деятельности федеральных бюджетных и автономных учреждений», однако данный порядок дополнительно применяют в работе федеральные учреждения, государственные (муниципальные) учреждения руководствуются 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нормами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приведенными в Приказе Минфина России от 31 августа 2018 г. № 186н: «О Требованиях к составлению и утверждению плана финансово-хозяйственной деятельности государственного (муниципального) учреждения».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нарушении п. 15 Раздела II Приказа Минфина России от 21.07.2011 №86н муниципальные задания на 2024 год и 2025 год, первоначальные и уточненные планы финансово-хозяйственной деятельности организации на 2024 год и на 2025 год размещены на официальном сайте в информационно-телекоммуникационной сети «Интернет» (www.bus.qov.ru) с нарушением сроков, т.е. позднее пяти рабочих дней, следующих за днем принятия </w:t>
      </w: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документов.</w:t>
      </w:r>
      <w:proofErr w:type="gramEnd"/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 нарушении п. 4.2.1 ч. 2 муниципального задания на 2025 год Учреждение утвердило отчет об исполнении муниципального задания за 2025 год 12 февраля 2026 года, т.е. с нарушением срока предоставления отчета об исполнении муниципального задания (срок – ежегодно до 10 февраля года следующего за отчетным годом).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 табеле учета использования рабочего времени за февраль 2024 года количество рабочих дней за полный месяц работникам учреждения отражены в количестве 20 дней, что соответствует производственному календарю на 2024 год, однако согласно Указа Губернатора Иркутской области «О праздновании национально-культурного праздника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Сагаалган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» от 11.01.2024 г. № 2-уг 10 февраля 2024 года объявлен нерабочим (праздничным) днем на территории Усть-Ордынского Бурятского округа, 12 февраля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считать выходным днем, таким образом, количество рабочих дней за февраль 2024 года в табеле должны быть отражены в количестве 19 рабочих дней. Неверный учет рабочего времени ведет к ошибкам в начислении заработной платы, отпускных.  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нарушении ч. 1 ст. 167 ТК РФ при направлении работников в служебную командировку (приказ № 77 от 25.04.2024 г., приказ № 159 от 20.10.2024 г., приказ № 172 от 05.11.2024 г., приказ № 61 от 14.05.2025 г.) заработная плата за период нахождения работников в командировке за проверяемый период оплачена исходя из должностного оклада вместо средней зарплаты. </w:t>
      </w:r>
      <w:proofErr w:type="gramEnd"/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Установлено нарушение при исчислении количества дней отпуска по совместительству </w:t>
      </w:r>
      <w:r w:rsidR="0001067B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директора школы</w:t>
      </w: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- 67 дней. Количество дней отпуска по должности «Директор» - 67 дней, по должности «Учитель» - 64 дня, сумма переплаты отпускных по должности «Учитель» составила 1197,9 руб.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нарушение п. 2 ч. 8 ст. 16 Федерального закона № 44-ФЗ в течение 2024 года в планы-графики закупок учреждения не вносились изменения в связи с изменением объема закупок. В частности, в планах-графиках закупок не нашли отражения изменения, вносимые в планы финансово-хозяйственной деятельности от 20 мая 2024 г., от 20 июня 2024 г., от 6 августа 2024 г. 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2024 году МБОУ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заключила договор № 23 от 03.06.2024 г. с ООО «НАШ» на поставку продуктов 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питания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сумму 684 128,35 руб. При осуществлении данной закупки, заказчиком (МБОУ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СОШ)</w:t>
      </w: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был применен метод определения поставщика путем закупки у единственного поставщика, т.е. без применения конкурентных способов определения поставщика. В соответствии с п. 5 ч. 1 ст. 93 Федерального закона № 44-ФЗ у учреждения действует ограничение на заключение прямых договоров в сумме 600,0 тыс. руб., т.е. договор № 23 был заключен в нарушение Федерального закона № 44-ФЗ. Данное нарушение имеет признаки административного правонарушения (п.1 ст.7.29).  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в 2024-2025 гг. заключала прямые договора с  одним и тем же поставщиком (ООО «НАШ») в один и тот же </w:t>
      </w: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день на поставку продуктов питания на сумму до 600,0 тыс. руб. Поскольку 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п.п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. 4 и 5 ч. 1 ст. 93 Федерального закона № 44-ФЗ связывают возможность осуществления одной закупки товара, работы или услуги без проведения конкурентных процедур (у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единственного поставщика) с установленными в этих нормах суммовыми ограничениями, фактическое превышение которых в результате искусственного дробления одного объекта закупки может рассматриваться как уклонение от проведения конкурентных процедур, иначе говоря, избрание ненадлежащего способа закупки. Федеральный закон № 44-ФЗ не содержит формального запрета на такой подход, т.е. заказчик может заключить несколько контрактов с одним и тем же поставщиком на схожий объект закупки, но при этом обязательно должно быть обоснование.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 нарушении п. 2 Указаний Банка России от 11 марта 2014 г.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в учреждении не установлен лимит кассы. Превышение установленного лимита остатка наличных денежных сре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дств в к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ассе учреждения является одним из грубейших нарушений кассовой дисциплины (оприходованы наличные денежные средства в кассу ПКО № 4 от 10.10.2025 г. на сумму 191 430,0 руб., внесены на лицевой счет РКО № 4 от 14.10.2025 г. на сумму 191 430,0 руб.). 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 январе - феврале 2024 г. общая сумма при снятии наличных средств из терминалов согласно чекам инкассации терминала составила 75 070,0 руб. и 68590,0 руб. соответственно, денежные средства оприходованы в кассу ПКО № 1 от 23.01.2024 г. в сумме 74 970,0 руб., ПКО № 2 от 20.02.2024 г. в сумме 68 640,0 руб., денежные средства внесены на лицевой счет Учреждения путем внесения средств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на корпоративную карту на основании РКО № 1 от 23.01.2024 г. в сумме 74 970,0 руб., РКО № 2 от 20.02.2024 г. в сумме 68 640,0 руб. Таким образом, общая сумма наличных средств при снятии из терминалов «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Инфошкола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» составила 143 660,0 руб., сумма, поступившая на лицевой счет Учреждения, составила 143 610,0 руб., т.е. недостача денежных средств составила 50,0 руб.</w:t>
      </w:r>
      <w:proofErr w:type="gramEnd"/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Выявлено несвоевременное оприходование в кассу наличных средств, полученных в результате инкассации терминалов, а именно, чек инкассации терминала от 11.09.2024 г. - ПКО и РКО от 16.09.2024 г.,  чек инкассации терминала от 22.10.2024 г. - ПКО и РКО от 28.10.2024 г.,  чек инкассации терминала от 11.12.2024 г. - ПКО и РКО от 13.12.2024 г., чек инкассации терминала от 20.12.2024 г. – ПКО и РКО от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23.12.2024 г., чек инкассации терминала от 21.01.2025 г. – ПКО и РКО от 22.01.2025 г., чек инкассации терминала от 25.03.2025 г. – ПКО и РКО от 28.03.2025 г., чек инкассации терминала от 22.12.2025 г. – ПКО и РКО от 23.12.2025 г. А также отсутствуют чеки инкассации терминала к ПКО № 4 от 28.05.2024 г., № 5 от 16.08.2024 г., № 6 от 23.08.2024 г., № 3 от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17.06.2025 г., что не дает возможность определить 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своевременного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оприходования наличных денежных средств в кассу.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накопительных ведомостях на выдачу продуктов питания в МБОУ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выявлены продукты, которые не допускаются для реализации в организациях общественного питания образовательных учреждений (п. 27 Приложения № 6 к СанПиН 2.3/2.4.3590-20 «Санитарно-эпидемиологические требования к организации общественного питания населения»). Общая сумма приобретенных и использованных при организации питания учащихся недопустимых нормами СанПиН 2.3/2.4.3590-20 продуктов составила 113 524,0 руб.</w:t>
      </w:r>
    </w:p>
    <w:p w:rsidR="00084B46" w:rsidRPr="00084B46" w:rsidRDefault="00084B46" w:rsidP="00084B46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В нарушение п. 69 «Инструкции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утвержденной приказом Минфина РФ от 25.03.2011 г. № 33н в отчете ф. 0503769 «Сведения по дебиторской и кредиторской задолженности учреждения» не отражена просроченная кредиторская задолженность по состоянию на 01.01.2025 г. в сумме 1 164 912,44 руб., по состоянию на 01.01.2026 г. в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сумме 1 545 333,27 руб. Общая сумма просроченной кредиторской задолженности МБОУ </w:t>
      </w:r>
      <w:proofErr w:type="spell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в проверяемом периоде составила 2 710 245,71 руб.</w:t>
      </w:r>
    </w:p>
    <w:p w:rsidR="00084B46" w:rsidRPr="00084B46" w:rsidRDefault="00084B46" w:rsidP="00537CB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Наличие значительной кредиторской задолженности является отрицательным фактором, влияющим на финансовое состояние Учреждения, так как в соответствии со статьей 161 БК РФ, принятые и неисполненные обязательства текущего года, необходимо погашать за счет лимитов бюджетных обязатель</w:t>
      </w:r>
      <w:proofErr w:type="gramStart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ств сл</w:t>
      </w:r>
      <w:proofErr w:type="gramEnd"/>
      <w:r w:rsidRPr="00084B46">
        <w:rPr>
          <w:rFonts w:ascii="Times New Roman" w:eastAsia="Calibri" w:hAnsi="Times New Roman" w:cs="Times New Roman"/>
          <w:sz w:val="28"/>
          <w:szCs w:val="28"/>
          <w:lang w:eastAsia="ru-RU"/>
        </w:rPr>
        <w:t>едующего года.</w:t>
      </w:r>
    </w:p>
    <w:p w:rsidR="009B4841" w:rsidRPr="009B4841" w:rsidRDefault="009B4841" w:rsidP="009B484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 замечаний  и нарушений, указанных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ыше, 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Контрольно-счё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тная комиссия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Нукутск</w:t>
      </w:r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ого муниципального округа Иркутской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рекомендовала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>Новонукутская</w:t>
      </w:r>
      <w:proofErr w:type="spellEnd"/>
      <w:r w:rsidR="00EC7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B4841" w:rsidRPr="009B4841" w:rsidRDefault="004357E8" w:rsidP="004357E8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357E8">
        <w:rPr>
          <w:rFonts w:ascii="Times New Roman" w:eastAsia="Calibri" w:hAnsi="Times New Roman" w:cs="Times New Roman"/>
          <w:sz w:val="28"/>
          <w:szCs w:val="28"/>
          <w:lang w:eastAsia="ru-RU"/>
        </w:rPr>
        <w:t>Внимательно и ответственно отнестись к ведению табеля, к начислению заработной платы, отпускных, расчета заработной платы при увольнении, а также к начислению заработной платы на период нахождения работников в командировке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</w:t>
      </w:r>
      <w:r w:rsidR="009B4841"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странить нарушения, связанные с расчетами оплаты труда и иных выплат сотрудникам </w:t>
      </w:r>
      <w:r w:rsidR="00B572AB">
        <w:rPr>
          <w:rFonts w:ascii="Times New Roman" w:eastAsia="Calibri" w:hAnsi="Times New Roman" w:cs="Times New Roman"/>
          <w:sz w:val="28"/>
          <w:szCs w:val="28"/>
          <w:lang w:eastAsia="ru-RU"/>
        </w:rPr>
        <w:t>ш</w:t>
      </w:r>
      <w:r w:rsidR="009B4841"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колы, указанных в данном заключении, не допускать неточных расчетов в будущих периодах.</w:t>
      </w:r>
      <w:proofErr w:type="gramEnd"/>
    </w:p>
    <w:p w:rsidR="009B4841" w:rsidRPr="009B4841" w:rsidRDefault="009B4841" w:rsidP="00EE2CD8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При выборе продуктов питания в школе, ответственным лицам не допускать для реализации в школьной столовой продукты, запрещенные к реализации нормами СанПиН 2.3/2.4.3590-20.</w:t>
      </w:r>
    </w:p>
    <w:p w:rsidR="009B4841" w:rsidRPr="009B4841" w:rsidRDefault="006B4EAE" w:rsidP="006B4EA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4EAE">
        <w:rPr>
          <w:rFonts w:ascii="Times New Roman" w:eastAsia="Calibri" w:hAnsi="Times New Roman" w:cs="Times New Roman"/>
          <w:sz w:val="28"/>
          <w:szCs w:val="28"/>
          <w:lang w:eastAsia="ru-RU"/>
        </w:rPr>
        <w:t>Повысить ответственность должностных лиц учреждения за соблюдение правил ведения бухгалтерского учета и отчетности, соблюдение правил ведения кассовых операций, соблюдение законодательства в сфере закупок</w:t>
      </w:r>
      <w:r w:rsidR="009B4841"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, не допускать нарушения положений Федерального закона № 44-ФЗ.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Принять меры для устранения кредиторской задолженности.</w:t>
      </w:r>
    </w:p>
    <w:p w:rsidR="009B4841" w:rsidRPr="009B4841" w:rsidRDefault="009B4841" w:rsidP="00A02B6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Проанализировать результаты контрольного мероприятия, принять меры по устранению, отмеченных в ходе контрольного мероприятия нарушений и недостатков, а также исключению подобных фактов в дальнейшем.</w:t>
      </w:r>
    </w:p>
    <w:p w:rsidR="00C24EB3" w:rsidRDefault="00C24EB3" w:rsidP="003117EE">
      <w:pPr>
        <w:spacing w:after="0" w:line="240" w:lineRule="auto"/>
        <w:ind w:firstLine="709"/>
      </w:pPr>
      <w:bookmarkStart w:id="0" w:name="_GoBack"/>
      <w:bookmarkEnd w:id="0"/>
    </w:p>
    <w:sectPr w:rsidR="00C2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9C4"/>
    <w:multiLevelType w:val="hybridMultilevel"/>
    <w:tmpl w:val="91F00CC0"/>
    <w:lvl w:ilvl="0" w:tplc="9072E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6519E1"/>
    <w:multiLevelType w:val="hybridMultilevel"/>
    <w:tmpl w:val="A7889C56"/>
    <w:lvl w:ilvl="0" w:tplc="598EF6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4E316B"/>
    <w:multiLevelType w:val="hybridMultilevel"/>
    <w:tmpl w:val="0CC8D63A"/>
    <w:lvl w:ilvl="0" w:tplc="158636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345A2"/>
    <w:multiLevelType w:val="hybridMultilevel"/>
    <w:tmpl w:val="023297C4"/>
    <w:lvl w:ilvl="0" w:tplc="A46EB5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35327"/>
    <w:multiLevelType w:val="hybridMultilevel"/>
    <w:tmpl w:val="390873B2"/>
    <w:lvl w:ilvl="0" w:tplc="E7006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D4"/>
    <w:rsid w:val="00001301"/>
    <w:rsid w:val="0001067B"/>
    <w:rsid w:val="00084B46"/>
    <w:rsid w:val="00175696"/>
    <w:rsid w:val="003117EE"/>
    <w:rsid w:val="003C0ADA"/>
    <w:rsid w:val="00412E23"/>
    <w:rsid w:val="004357E8"/>
    <w:rsid w:val="00537CBF"/>
    <w:rsid w:val="006B4EAE"/>
    <w:rsid w:val="006E2EA4"/>
    <w:rsid w:val="008C2AD4"/>
    <w:rsid w:val="0091288E"/>
    <w:rsid w:val="009B4841"/>
    <w:rsid w:val="00A02B66"/>
    <w:rsid w:val="00A559EC"/>
    <w:rsid w:val="00B06B81"/>
    <w:rsid w:val="00B572AB"/>
    <w:rsid w:val="00B8487B"/>
    <w:rsid w:val="00C24EB3"/>
    <w:rsid w:val="00DF6F1B"/>
    <w:rsid w:val="00EC7118"/>
    <w:rsid w:val="00EE2CD8"/>
    <w:rsid w:val="00F3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84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Хармаева</cp:lastModifiedBy>
  <cp:revision>16</cp:revision>
  <dcterms:created xsi:type="dcterms:W3CDTF">2022-07-27T02:26:00Z</dcterms:created>
  <dcterms:modified xsi:type="dcterms:W3CDTF">2026-05-08T02:35:00Z</dcterms:modified>
</cp:coreProperties>
</file>